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B" w:rsidRDefault="00EA2A3B" w:rsidP="00C33F14">
      <w:pPr>
        <w:tabs>
          <w:tab w:val="left" w:pos="-567"/>
          <w:tab w:val="left" w:pos="4395"/>
        </w:tabs>
        <w:spacing w:after="0" w:line="240" w:lineRule="auto"/>
        <w:ind w:left="-567" w:right="-285"/>
        <w:jc w:val="center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                          </w:t>
      </w:r>
    </w:p>
    <w:p w:rsidR="00F1305A" w:rsidRDefault="00EA2A3B" w:rsidP="00C33F14">
      <w:pPr>
        <w:tabs>
          <w:tab w:val="left" w:pos="-567"/>
          <w:tab w:val="left" w:pos="4395"/>
        </w:tabs>
        <w:spacing w:after="0" w:line="240" w:lineRule="auto"/>
        <w:ind w:left="-567" w:right="-285"/>
        <w:jc w:val="center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                                               </w:t>
      </w:r>
      <w:r w:rsidR="001747FA"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Istituto Suore Terziarie Francescane Regolari </w:t>
      </w:r>
    </w:p>
    <w:p w:rsidR="001747FA" w:rsidRDefault="00204387" w:rsidP="00C33F14">
      <w:pPr>
        <w:tabs>
          <w:tab w:val="left" w:pos="-567"/>
          <w:tab w:val="left" w:pos="4395"/>
        </w:tabs>
        <w:spacing w:after="0" w:line="240" w:lineRule="auto"/>
        <w:ind w:left="-567" w:right="-285"/>
        <w:jc w:val="center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pt;margin-top:1.5pt;width:123.55pt;height:116pt;z-index:251660288" wrapcoords="-93 0 -93 19916 21600 19916 21600 0 -93 0">
            <v:imagedata r:id="rId6" o:title=""/>
            <w10:wrap type="tight"/>
          </v:shape>
          <o:OLEObject Type="Embed" ProgID="Word.Document.8" ShapeID="_x0000_s1026" DrawAspect="Content" ObjectID="_1505183058" r:id="rId7">
            <o:FieldCodes>\s</o:FieldCodes>
          </o:OLEObject>
        </w:pict>
      </w:r>
      <w:r w:rsidR="001747FA">
        <w:rPr>
          <w:rFonts w:ascii="Times New Roman" w:hAnsi="Times New Roman"/>
          <w:i/>
          <w:color w:val="auto"/>
          <w:sz w:val="24"/>
          <w:szCs w:val="24"/>
          <w:lang w:val="it-IT"/>
        </w:rPr>
        <w:t>Casa Generalizia “San Francesco”</w:t>
      </w:r>
    </w:p>
    <w:p w:rsidR="001747FA" w:rsidRDefault="001747FA" w:rsidP="00C33F14">
      <w:pPr>
        <w:tabs>
          <w:tab w:val="left" w:pos="-567"/>
          <w:tab w:val="left" w:pos="4395"/>
        </w:tabs>
        <w:spacing w:after="0" w:line="240" w:lineRule="auto"/>
        <w:ind w:left="-567" w:right="-285"/>
        <w:jc w:val="center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z w:val="24"/>
          <w:szCs w:val="24"/>
          <w:lang w:val="it-IT"/>
        </w:rPr>
        <w:t>Via Vittorio Emanuele,100 – 50134 Firenze (Italia)</w:t>
      </w:r>
    </w:p>
    <w:p w:rsidR="00F1305A" w:rsidRDefault="001747FA" w:rsidP="00C33F14">
      <w:pPr>
        <w:tabs>
          <w:tab w:val="left" w:pos="-567"/>
          <w:tab w:val="left" w:pos="4395"/>
        </w:tabs>
        <w:spacing w:after="0" w:line="240" w:lineRule="auto"/>
        <w:ind w:left="0" w:right="283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                                 </w:t>
      </w:r>
      <w:r w:rsidR="00F1305A"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Tel. 055 490002 </w:t>
      </w:r>
      <w:r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 </w:t>
      </w:r>
      <w:r w:rsidR="00F1305A">
        <w:rPr>
          <w:rFonts w:ascii="Times New Roman" w:hAnsi="Times New Roman"/>
          <w:i/>
          <w:color w:val="auto"/>
          <w:sz w:val="24"/>
          <w:szCs w:val="24"/>
          <w:lang w:val="it-IT"/>
        </w:rPr>
        <w:t>Fax 055 486568</w:t>
      </w:r>
    </w:p>
    <w:p w:rsidR="00F1305A" w:rsidRDefault="00836EED" w:rsidP="00C33F14">
      <w:pPr>
        <w:tabs>
          <w:tab w:val="left" w:pos="-567"/>
          <w:tab w:val="left" w:pos="4395"/>
        </w:tabs>
        <w:spacing w:after="0" w:line="240" w:lineRule="auto"/>
        <w:ind w:left="0" w:right="283"/>
        <w:jc w:val="center"/>
        <w:rPr>
          <w:rFonts w:ascii="Times New Roman" w:hAnsi="Times New Roman"/>
          <w:i/>
          <w:color w:val="auto"/>
          <w:sz w:val="24"/>
          <w:szCs w:val="24"/>
          <w:lang w:val="it-IT"/>
        </w:rPr>
      </w:pPr>
      <w:r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               </w:t>
      </w:r>
      <w:r w:rsidR="00F1305A">
        <w:rPr>
          <w:rFonts w:ascii="Times New Roman" w:hAnsi="Times New Roman"/>
          <w:i/>
          <w:color w:val="auto"/>
          <w:sz w:val="24"/>
          <w:szCs w:val="24"/>
          <w:lang w:val="it-IT"/>
        </w:rPr>
        <w:t xml:space="preserve">e-mail:  </w:t>
      </w:r>
      <w:hyperlink r:id="rId8" w:history="1">
        <w:r w:rsidR="00F1305A" w:rsidRPr="00437C58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suoretrziarie@tin.it</w:t>
        </w:r>
      </w:hyperlink>
    </w:p>
    <w:p w:rsidR="00F1305A" w:rsidRDefault="00F1305A" w:rsidP="00C33F14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color w:val="auto"/>
          <w:sz w:val="28"/>
          <w:szCs w:val="28"/>
          <w:lang w:val="it-IT"/>
        </w:rPr>
      </w:pPr>
    </w:p>
    <w:p w:rsidR="00EA2A3B" w:rsidRDefault="00EA2A3B" w:rsidP="00EA2A3B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color w:val="auto"/>
          <w:sz w:val="28"/>
          <w:szCs w:val="28"/>
          <w:lang w:val="it-IT"/>
        </w:rPr>
      </w:pPr>
    </w:p>
    <w:p w:rsidR="00EA2A3B" w:rsidRDefault="00EA2A3B" w:rsidP="00EA2A3B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color w:val="auto"/>
          <w:sz w:val="28"/>
          <w:szCs w:val="28"/>
          <w:lang w:val="it-IT"/>
        </w:rPr>
      </w:pPr>
    </w:p>
    <w:p w:rsidR="00F1305A" w:rsidRPr="00C33F14" w:rsidRDefault="00EA2A3B" w:rsidP="00EA2A3B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b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                               </w:t>
      </w:r>
      <w:r w:rsidR="00C33F14" w:rsidRPr="00C33F14">
        <w:rPr>
          <w:rFonts w:ascii="Times New Roman" w:hAnsi="Times New Roman"/>
          <w:b/>
          <w:color w:val="auto"/>
          <w:sz w:val="28"/>
          <w:szCs w:val="28"/>
          <w:lang w:val="it-IT"/>
        </w:rPr>
        <w:t>CAPITOLO GENERALE</w:t>
      </w:r>
    </w:p>
    <w:p w:rsidR="00C33F14" w:rsidRPr="00C33F14" w:rsidRDefault="00C33F14" w:rsidP="00E770DD">
      <w:pPr>
        <w:tabs>
          <w:tab w:val="left" w:pos="-567"/>
          <w:tab w:val="left" w:pos="4395"/>
        </w:tabs>
        <w:spacing w:after="0"/>
        <w:ind w:left="0" w:right="283"/>
        <w:jc w:val="center"/>
        <w:rPr>
          <w:rFonts w:ascii="Times New Roman" w:hAnsi="Times New Roman"/>
          <w:b/>
          <w:color w:val="auto"/>
          <w:sz w:val="28"/>
          <w:szCs w:val="28"/>
          <w:lang w:val="it-IT"/>
        </w:rPr>
      </w:pPr>
      <w:r w:rsidRPr="00C33F14">
        <w:rPr>
          <w:rFonts w:ascii="Times New Roman" w:hAnsi="Times New Roman"/>
          <w:b/>
          <w:color w:val="auto"/>
          <w:sz w:val="28"/>
          <w:szCs w:val="28"/>
          <w:lang w:val="it-IT"/>
        </w:rPr>
        <w:t>Firenze – agosto 2015</w:t>
      </w:r>
    </w:p>
    <w:p w:rsidR="00F1305A" w:rsidRDefault="00F1305A" w:rsidP="00E770DD">
      <w:pPr>
        <w:tabs>
          <w:tab w:val="left" w:pos="-567"/>
          <w:tab w:val="left" w:pos="4395"/>
        </w:tabs>
        <w:spacing w:after="0"/>
        <w:ind w:left="0" w:right="283"/>
        <w:jc w:val="center"/>
        <w:rPr>
          <w:rFonts w:ascii="Times New Roman" w:hAnsi="Times New Roman"/>
          <w:color w:val="auto"/>
          <w:sz w:val="28"/>
          <w:szCs w:val="28"/>
          <w:lang w:val="it-IT"/>
        </w:rPr>
      </w:pPr>
    </w:p>
    <w:p w:rsidR="00E770DD" w:rsidRDefault="00C33F14" w:rsidP="00C33F14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b/>
          <w:color w:val="auto"/>
          <w:sz w:val="28"/>
          <w:szCs w:val="28"/>
          <w:lang w:val="it-IT"/>
        </w:rPr>
      </w:pPr>
      <w:r>
        <w:rPr>
          <w:rFonts w:ascii="Times New Roman" w:hAnsi="Times New Roman"/>
          <w:b/>
          <w:color w:val="auto"/>
          <w:sz w:val="28"/>
          <w:szCs w:val="28"/>
          <w:lang w:val="it-IT"/>
        </w:rPr>
        <w:t xml:space="preserve">     </w:t>
      </w:r>
      <w:r w:rsidR="00E770DD" w:rsidRPr="00C33F14">
        <w:rPr>
          <w:rFonts w:ascii="Times New Roman" w:hAnsi="Times New Roman"/>
          <w:b/>
          <w:color w:val="auto"/>
          <w:sz w:val="28"/>
          <w:szCs w:val="28"/>
          <w:lang w:val="it-IT"/>
        </w:rPr>
        <w:t xml:space="preserve">DECISIONI APPROVATE </w:t>
      </w:r>
    </w:p>
    <w:p w:rsidR="00C33F14" w:rsidRPr="00C33F14" w:rsidRDefault="00C33F14" w:rsidP="00C33F14">
      <w:pPr>
        <w:tabs>
          <w:tab w:val="left" w:pos="-567"/>
          <w:tab w:val="left" w:pos="4395"/>
        </w:tabs>
        <w:spacing w:after="0"/>
        <w:ind w:left="0" w:right="283"/>
        <w:rPr>
          <w:rFonts w:ascii="Times New Roman" w:hAnsi="Times New Roman"/>
          <w:b/>
          <w:color w:val="auto"/>
          <w:sz w:val="28"/>
          <w:szCs w:val="28"/>
          <w:lang w:val="it-IT"/>
        </w:rPr>
      </w:pPr>
    </w:p>
    <w:p w:rsidR="00E770DD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1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.  A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utorizzazione per la costruzione della scuola a Thullur.</w:t>
      </w:r>
    </w:p>
    <w:p w:rsidR="00E770DD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In Orissa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costruzione della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casa di accoglienza per le bambine.</w:t>
      </w:r>
    </w:p>
    <w:p w:rsidR="00C33F14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-14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3.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Convocare un’ assemblea intermedia triennale con l’intento di realizzare maggiore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</w:p>
    <w:p w:rsidR="00E770DD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-14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unità tra le varie realtà dell’Istituto.</w:t>
      </w:r>
    </w:p>
    <w:p w:rsidR="00E770DD" w:rsidRDefault="00C33F14" w:rsidP="00836EED">
      <w:pPr>
        <w:tabs>
          <w:tab w:val="left" w:pos="-567"/>
          <w:tab w:val="left" w:pos="4395"/>
        </w:tabs>
        <w:spacing w:after="0" w:line="360" w:lineRule="auto"/>
        <w:ind w:left="-567" w:right="-1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4.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Tutte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le circoscrizioni contribuiscano  ad attivare una casa di formazione a Roma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:rsidR="00C33F14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5.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Viene affidato al Consiglio Generale la nomina di </w:t>
      </w:r>
      <w:r w:rsidR="00E770DD" w:rsidRPr="00C33F14">
        <w:rPr>
          <w:rFonts w:ascii="Times New Roman" w:hAnsi="Times New Roman"/>
          <w:color w:val="auto"/>
          <w:sz w:val="28"/>
          <w:szCs w:val="28"/>
          <w:lang w:val="it-IT"/>
        </w:rPr>
        <w:t>un’animatrice spirituale</w:t>
      </w:r>
      <w:r w:rsidR="00E770DD" w:rsidRPr="00935C8A">
        <w:rPr>
          <w:rFonts w:ascii="Times New Roman" w:hAnsi="Times New Roman"/>
          <w:color w:val="auto"/>
          <w:sz w:val="28"/>
          <w:szCs w:val="28"/>
          <w:u w:val="single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che lo  </w:t>
      </w:r>
    </w:p>
    <w:p w:rsidR="00E770DD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affianchi  nel proporre e attuare programmi  formativi semestrali.</w:t>
      </w:r>
    </w:p>
    <w:p w:rsidR="00DA094C" w:rsidRDefault="00C33F14" w:rsidP="00C33F14">
      <w:pPr>
        <w:tabs>
          <w:tab w:val="left" w:pos="-567"/>
          <w:tab w:val="left" w:pos="4395"/>
        </w:tabs>
        <w:spacing w:after="0" w:line="360" w:lineRule="auto"/>
        <w:ind w:left="-567" w:right="284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6.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>Le suore che hanno compiuto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25 anni di professione</w:t>
      </w:r>
      <w:r w:rsidR="00DA094C">
        <w:rPr>
          <w:rFonts w:ascii="Times New Roman" w:hAnsi="Times New Roman"/>
          <w:color w:val="auto"/>
          <w:sz w:val="28"/>
          <w:szCs w:val="28"/>
          <w:lang w:val="it-IT"/>
        </w:rPr>
        <w:t xml:space="preserve">, se richiesto,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possono avere </w:t>
      </w:r>
    </w:p>
    <w:p w:rsidR="00DA094C" w:rsidRDefault="00DA094C" w:rsidP="00DA094C">
      <w:pPr>
        <w:tabs>
          <w:tab w:val="left" w:pos="-567"/>
          <w:tab w:val="left" w:pos="4395"/>
        </w:tabs>
        <w:spacing w:after="0" w:line="360" w:lineRule="auto"/>
        <w:ind w:left="-567" w:right="284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il cellulare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personale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con la ricarica fatta dalla superiora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. P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er spirito di distacco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,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:rsidR="00DA094C" w:rsidRDefault="00DA094C" w:rsidP="00DA094C">
      <w:pPr>
        <w:tabs>
          <w:tab w:val="left" w:pos="-567"/>
          <w:tab w:val="left" w:pos="4395"/>
        </w:tabs>
        <w:spacing w:after="0" w:line="360" w:lineRule="auto"/>
        <w:ind w:left="-567" w:right="284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povertà e per uniformità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,</w:t>
      </w:r>
      <w:r w:rsid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 chi non ha il cellulare avrà la scheda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per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un totale </w:t>
      </w:r>
      <w:r w:rsidR="00C33F14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delle  </w:t>
      </w:r>
    </w:p>
    <w:p w:rsidR="00E770DD" w:rsidRDefault="00DA094C" w:rsidP="00DA094C">
      <w:pPr>
        <w:tabs>
          <w:tab w:val="left" w:pos="-567"/>
          <w:tab w:val="left" w:pos="4395"/>
        </w:tabs>
        <w:spacing w:after="0" w:line="360" w:lineRule="auto"/>
        <w:ind w:left="-567" w:right="284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stesse ore.</w:t>
      </w:r>
    </w:p>
    <w:p w:rsidR="00B50E9F" w:rsidRDefault="00C33F14" w:rsidP="00836EED">
      <w:pPr>
        <w:tabs>
          <w:tab w:val="left" w:pos="-567"/>
          <w:tab w:val="left" w:pos="4395"/>
        </w:tabs>
        <w:spacing w:after="0" w:line="360" w:lineRule="auto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B00DB9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7.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La percentuale per la partecipazione delle delegate  al </w:t>
      </w:r>
      <w:r w:rsidR="00B50E9F">
        <w:rPr>
          <w:rFonts w:ascii="Times New Roman" w:hAnsi="Times New Roman"/>
          <w:color w:val="auto"/>
          <w:sz w:val="28"/>
          <w:szCs w:val="28"/>
          <w:lang w:val="it-IT"/>
        </w:rPr>
        <w:t xml:space="preserve">prossimo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Capitolo 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>G</w:t>
      </w:r>
      <w:r w:rsidR="00B50E9F">
        <w:rPr>
          <w:rFonts w:ascii="Times New Roman" w:hAnsi="Times New Roman"/>
          <w:color w:val="auto"/>
          <w:sz w:val="28"/>
          <w:szCs w:val="28"/>
          <w:lang w:val="it-IT"/>
        </w:rPr>
        <w:t xml:space="preserve">enerale    </w:t>
      </w:r>
    </w:p>
    <w:p w:rsidR="00350F51" w:rsidRDefault="00B50E9F" w:rsidP="00350F51">
      <w:pPr>
        <w:tabs>
          <w:tab w:val="left" w:pos="-567"/>
          <w:tab w:val="left" w:pos="4395"/>
        </w:tabs>
        <w:spacing w:after="0" w:line="360" w:lineRule="auto"/>
        <w:ind w:left="-567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 xml:space="preserve"> r</w:t>
      </w:r>
      <w:r w:rsidR="00350F51">
        <w:rPr>
          <w:rFonts w:ascii="Times New Roman" w:hAnsi="Times New Roman"/>
          <w:color w:val="auto"/>
          <w:sz w:val="28"/>
          <w:szCs w:val="28"/>
          <w:lang w:val="it-IT"/>
        </w:rPr>
        <w:t>imane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 xml:space="preserve"> del</w:t>
      </w:r>
      <w:r w:rsid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 10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%</w:t>
      </w:r>
      <w:r w:rsidR="00350F51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350F51" w:rsidRPr="00836EED" w:rsidRDefault="00B00DB9" w:rsidP="00836EED">
      <w:pPr>
        <w:pStyle w:val="PargrafodaLista"/>
        <w:tabs>
          <w:tab w:val="left" w:pos="-567"/>
          <w:tab w:val="left" w:pos="4395"/>
        </w:tabs>
        <w:spacing w:after="0" w:line="360" w:lineRule="auto"/>
        <w:ind w:left="284" w:right="284" w:hanging="709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8.  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 xml:space="preserve"> Spetta ad ogni Consiglio Provinciale o di Delegazione stabilire, tenendo conto delle necessità di ogni sing</w:t>
      </w:r>
      <w:r w:rsidR="00902178">
        <w:rPr>
          <w:rFonts w:ascii="Times New Roman" w:hAnsi="Times New Roman"/>
          <w:color w:val="auto"/>
          <w:sz w:val="28"/>
          <w:szCs w:val="28"/>
          <w:lang w:val="it-IT"/>
        </w:rPr>
        <w:t>ola casa,  la quota per le spese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 xml:space="preserve"> straordinarie che la </w:t>
      </w:r>
      <w:r w:rsidR="00836EED" w:rsidRPr="00836EED">
        <w:rPr>
          <w:rFonts w:ascii="Times New Roman" w:hAnsi="Times New Roman"/>
          <w:b/>
          <w:i/>
          <w:color w:val="auto"/>
          <w:sz w:val="28"/>
          <w:szCs w:val="28"/>
          <w:lang w:val="it-IT"/>
        </w:rPr>
        <w:t xml:space="preserve">superiora </w:t>
      </w:r>
      <w:r w:rsidR="00836EED">
        <w:rPr>
          <w:rFonts w:ascii="Times New Roman" w:hAnsi="Times New Roman"/>
          <w:b/>
          <w:i/>
          <w:color w:val="auto"/>
          <w:sz w:val="28"/>
          <w:szCs w:val="28"/>
          <w:lang w:val="it-IT"/>
        </w:rPr>
        <w:t xml:space="preserve"> </w:t>
      </w:r>
      <w:r w:rsidR="00836EED">
        <w:rPr>
          <w:rFonts w:ascii="Times New Roman" w:hAnsi="Times New Roman"/>
          <w:color w:val="auto"/>
          <w:sz w:val="28"/>
          <w:szCs w:val="28"/>
          <w:lang w:val="it-IT"/>
        </w:rPr>
        <w:t>può spendere senza il consenso del Consiglio stesso.</w:t>
      </w:r>
    </w:p>
    <w:p w:rsidR="00350F51" w:rsidRDefault="00350F51" w:rsidP="00836EED">
      <w:pPr>
        <w:pStyle w:val="PargrafodaLista"/>
        <w:tabs>
          <w:tab w:val="left" w:pos="-567"/>
          <w:tab w:val="left" w:pos="4395"/>
        </w:tabs>
        <w:spacing w:after="0" w:line="360" w:lineRule="auto"/>
        <w:ind w:left="284" w:right="284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La somma per le spese  straordinarie che ogni </w:t>
      </w:r>
      <w:r w:rsidRPr="00EA2A3B">
        <w:rPr>
          <w:rFonts w:ascii="Times New Roman" w:hAnsi="Times New Roman"/>
          <w:b/>
          <w:i/>
          <w:color w:val="auto"/>
          <w:sz w:val="28"/>
          <w:szCs w:val="28"/>
          <w:lang w:val="it-IT"/>
        </w:rPr>
        <w:t>superiora di circoscrizione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può spendere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da 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>sola,  con il consenso del suo Consiglio o della S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uperiora Generale  ri</w:t>
      </w:r>
      <w:r w:rsidR="00B00DB9">
        <w:rPr>
          <w:rFonts w:ascii="Times New Roman" w:hAnsi="Times New Roman"/>
          <w:color w:val="auto"/>
          <w:sz w:val="28"/>
          <w:szCs w:val="28"/>
          <w:lang w:val="it-IT"/>
        </w:rPr>
        <w:t>mane invariata rispetto all’ultimo Capitolo Generale.</w:t>
      </w:r>
    </w:p>
    <w:p w:rsidR="00350F51" w:rsidRDefault="00EA2A3B" w:rsidP="00EA2A3B">
      <w:pPr>
        <w:tabs>
          <w:tab w:val="left" w:pos="-567"/>
          <w:tab w:val="left" w:pos="4395"/>
        </w:tabs>
        <w:spacing w:after="0" w:line="360" w:lineRule="auto"/>
        <w:ind w:left="-567" w:right="283"/>
        <w:jc w:val="center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°°°°°°°°°°°°°°°°°°°°°°°°°°°°°°°°°°°</w:t>
      </w:r>
    </w:p>
    <w:p w:rsidR="00EA2A3B" w:rsidRDefault="00EA2A3B" w:rsidP="00EA2A3B">
      <w:pPr>
        <w:tabs>
          <w:tab w:val="left" w:pos="-567"/>
          <w:tab w:val="left" w:pos="4395"/>
        </w:tabs>
        <w:spacing w:after="0" w:line="360" w:lineRule="auto"/>
        <w:ind w:left="-567" w:right="283"/>
        <w:jc w:val="center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°°°°°°°°°°°°°°°°°°°°°°°°°°°°°°°°</w:t>
      </w:r>
    </w:p>
    <w:p w:rsidR="00EF76CF" w:rsidRDefault="00EF76CF" w:rsidP="00EA2A3B">
      <w:pPr>
        <w:tabs>
          <w:tab w:val="left" w:pos="-567"/>
          <w:tab w:val="left" w:pos="4395"/>
        </w:tabs>
        <w:spacing w:after="0"/>
        <w:ind w:left="0" w:right="283"/>
        <w:jc w:val="center"/>
        <w:rPr>
          <w:rFonts w:ascii="Times New Roman" w:hAnsi="Times New Roman"/>
          <w:b/>
          <w:color w:val="auto"/>
          <w:sz w:val="28"/>
          <w:szCs w:val="28"/>
          <w:lang w:val="it-IT"/>
        </w:rPr>
      </w:pPr>
    </w:p>
    <w:p w:rsidR="00EF76CF" w:rsidRDefault="00EF76CF" w:rsidP="00EA2A3B">
      <w:pPr>
        <w:tabs>
          <w:tab w:val="left" w:pos="-567"/>
          <w:tab w:val="left" w:pos="4395"/>
        </w:tabs>
        <w:spacing w:after="0"/>
        <w:ind w:left="0" w:right="283"/>
        <w:jc w:val="center"/>
        <w:rPr>
          <w:rFonts w:ascii="Times New Roman" w:hAnsi="Times New Roman"/>
          <w:b/>
          <w:color w:val="auto"/>
          <w:sz w:val="28"/>
          <w:szCs w:val="28"/>
          <w:lang w:val="it-IT"/>
        </w:rPr>
      </w:pPr>
    </w:p>
    <w:p w:rsidR="00E770DD" w:rsidRPr="00B00DB9" w:rsidRDefault="002323B2" w:rsidP="00EA2A3B">
      <w:pPr>
        <w:tabs>
          <w:tab w:val="left" w:pos="-567"/>
          <w:tab w:val="left" w:pos="4395"/>
        </w:tabs>
        <w:spacing w:after="0"/>
        <w:ind w:left="0" w:right="283"/>
        <w:jc w:val="center"/>
        <w:rPr>
          <w:rFonts w:ascii="Times New Roman" w:hAnsi="Times New Roman"/>
          <w:b/>
          <w:color w:val="auto"/>
          <w:sz w:val="28"/>
          <w:szCs w:val="28"/>
          <w:lang w:val="it-IT"/>
        </w:rPr>
      </w:pPr>
      <w:r>
        <w:rPr>
          <w:rFonts w:ascii="Times New Roman" w:hAnsi="Times New Roman"/>
          <w:b/>
          <w:color w:val="auto"/>
          <w:sz w:val="28"/>
          <w:szCs w:val="28"/>
          <w:lang w:val="it-IT"/>
        </w:rPr>
        <w:lastRenderedPageBreak/>
        <w:t xml:space="preserve">Esortazioni  e proposte </w:t>
      </w:r>
      <w:r w:rsidR="00B00DB9" w:rsidRPr="00B00DB9">
        <w:rPr>
          <w:rFonts w:ascii="Times New Roman" w:hAnsi="Times New Roman"/>
          <w:b/>
          <w:color w:val="auto"/>
          <w:sz w:val="28"/>
          <w:szCs w:val="28"/>
          <w:lang w:val="it-IT"/>
        </w:rPr>
        <w:t>approvate</w:t>
      </w:r>
    </w:p>
    <w:p w:rsidR="00E770DD" w:rsidRDefault="00350F51" w:rsidP="00E770DD">
      <w:pPr>
        <w:tabs>
          <w:tab w:val="left" w:pos="-567"/>
          <w:tab w:val="left" w:pos="4395"/>
        </w:tabs>
        <w:spacing w:after="0"/>
        <w:ind w:left="283" w:right="283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:rsidR="00E770DD" w:rsidRDefault="00E770DD" w:rsidP="00EA2A3B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Le vacanze triennali saranno di un mese più il viaggio. Chi desidera fare gli 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esercizi in 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  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A2A3B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India può farli durante tale 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periodo.</w:t>
      </w:r>
    </w:p>
    <w:p w:rsidR="00EA2A3B" w:rsidRPr="002323B2" w:rsidRDefault="00EA2A3B" w:rsidP="002323B2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Per le vacanze in </w:t>
      </w:r>
      <w:r w:rsidRPr="00EA2A3B">
        <w:rPr>
          <w:rFonts w:ascii="Times New Roman" w:hAnsi="Times New Roman"/>
          <w:b/>
          <w:i/>
          <w:color w:val="auto"/>
          <w:sz w:val="28"/>
          <w:szCs w:val="28"/>
          <w:lang w:val="it-IT"/>
        </w:rPr>
        <w:t>India dall’Italia</w:t>
      </w:r>
      <w:r w:rsidRP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 viene deciso di dare a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ciascuna suora </w:t>
      </w:r>
      <w:r w:rsidRPr="00350F51">
        <w:rPr>
          <w:rFonts w:ascii="Times New Roman" w:hAnsi="Times New Roman"/>
          <w:color w:val="auto"/>
          <w:sz w:val="28"/>
          <w:szCs w:val="28"/>
          <w:lang w:val="it-IT"/>
        </w:rPr>
        <w:t xml:space="preserve"> 250 euro più il viaggio.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Chi avesse necessità particolari deve farlo  presente ai Superiori che </w:t>
      </w:r>
      <w:r w:rsidR="002323B2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2323B2">
        <w:rPr>
          <w:rFonts w:ascii="Times New Roman" w:hAnsi="Times New Roman"/>
          <w:color w:val="auto"/>
          <w:sz w:val="28"/>
          <w:szCs w:val="28"/>
          <w:lang w:val="it-IT"/>
        </w:rPr>
        <w:t>valuteranno caso per caso.  Per le altre Circoscrizioni la somma verrà stabilita   nei rispettivi Capitoli o Consigli.</w:t>
      </w:r>
    </w:p>
    <w:p w:rsidR="00EA2A3B" w:rsidRDefault="00E770DD" w:rsidP="00EA2A3B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Viene concessa la possibilità di assistere i genitori in caso di malattia grave 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per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un periodo di tempo limitato,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venendo incontro alle  situazioni particolari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E770DD" w:rsidP="00EA2A3B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Si  ribadisce che le suore possono andare a visitare all’estero solo genitori, fratelli e sorelle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>, in tal caso i  biglietti saranno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pagati dai parenti stessi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. Questa decisione è valida per tutte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( Italia, B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rasile,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India,</w:t>
      </w:r>
      <w:r w:rsidR="00350F51"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Africa)</w:t>
      </w:r>
      <w:r w:rsidR="00EA2A3B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B00DB9" w:rsidRDefault="00350F51" w:rsidP="00EF76CF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 w:rsidRPr="00EA2A3B">
        <w:rPr>
          <w:rFonts w:ascii="Times New Roman" w:hAnsi="Times New Roman"/>
          <w:color w:val="auto"/>
          <w:sz w:val="28"/>
          <w:szCs w:val="28"/>
          <w:lang w:val="it-IT"/>
        </w:rPr>
        <w:t>La decisione di permettere di indossare l’abito grigio in Andhra viene lasciata al consiglio della Provincia Indiana</w:t>
      </w:r>
      <w:r w:rsidRPr="00EA2A3B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In Italia viene concesso il permesso, per chi lo</w:t>
      </w:r>
      <w:r w:rsidR="00EA2A3B"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desidera, di indossare l’abito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sul modello 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A2A3B"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di quello indiano</w:t>
      </w:r>
      <w:r w:rsidR="00B00DB9" w:rsidRP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E770DD" w:rsidP="00EF76CF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Stabilire una maggiore collaborazione tra le econome delle varie  </w:t>
      </w:r>
      <w:r w:rsidR="00B00DB9" w:rsidRPr="00EF76CF">
        <w:rPr>
          <w:rFonts w:ascii="Times New Roman" w:hAnsi="Times New Roman"/>
          <w:color w:val="auto"/>
          <w:sz w:val="28"/>
          <w:szCs w:val="28"/>
          <w:lang w:val="it-IT"/>
        </w:rPr>
        <w:t>circoscrizioni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E770DD" w:rsidP="00EF76CF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>I beni dell’Istituto sono di tutte, non si devono considerare come proprietà propria, ma ognuno deve sentirsi responsabile nel conservarli e custodirli</w:t>
      </w:r>
      <w:r w:rsidR="00B00DB9" w:rsidRP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E770DD" w:rsidP="00EF76CF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>Chi vuol imparare la musica o uno</w:t>
      </w:r>
      <w:r w:rsidR="00051E4E">
        <w:rPr>
          <w:rFonts w:ascii="Times New Roman" w:hAnsi="Times New Roman"/>
          <w:color w:val="auto"/>
          <w:sz w:val="28"/>
          <w:szCs w:val="28"/>
          <w:lang w:val="it-IT"/>
        </w:rPr>
        <w:t xml:space="preserve"> strumento lo faccia presente alla superiora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051E4E">
        <w:rPr>
          <w:rFonts w:ascii="Times New Roman" w:hAnsi="Times New Roman"/>
          <w:color w:val="auto"/>
          <w:sz w:val="28"/>
          <w:szCs w:val="28"/>
          <w:lang w:val="it-IT"/>
        </w:rPr>
        <w:t>che ne valuterà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la possibilità</w:t>
      </w:r>
      <w:r w:rsidR="00B00DB9" w:rsidRP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Pr="00EF76CF" w:rsidRDefault="00E770DD" w:rsidP="00EF76CF">
      <w:pPr>
        <w:pStyle w:val="PargrafodaLista"/>
        <w:numPr>
          <w:ilvl w:val="0"/>
          <w:numId w:val="3"/>
        </w:numPr>
        <w:tabs>
          <w:tab w:val="left" w:pos="-567"/>
          <w:tab w:val="left" w:pos="4395"/>
        </w:tabs>
        <w:spacing w:after="0"/>
        <w:ind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>Per ogni circoscrizione preparare delle formatrici che conoscano la cultura del luogo. Occorre avere la possibilità di un maggiore inte</w:t>
      </w:r>
      <w:r w:rsidR="00B00DB9"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rscambio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tra le formatrici.</w:t>
      </w:r>
    </w:p>
    <w:p w:rsidR="00EF76CF" w:rsidRDefault="00B00DB9" w:rsidP="00EF76CF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10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In Africa si chiede una formatrice.</w:t>
      </w:r>
    </w:p>
    <w:p w:rsidR="00E770DD" w:rsidRPr="00EF76CF" w:rsidRDefault="00B00DB9" w:rsidP="00EF76CF">
      <w:pPr>
        <w:pStyle w:val="PargrafodaLista"/>
        <w:tabs>
          <w:tab w:val="left" w:pos="-993"/>
          <w:tab w:val="left" w:pos="10490"/>
        </w:tabs>
        <w:spacing w:after="0"/>
        <w:ind w:left="0" w:right="-285" w:hanging="567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11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A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t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tivare anche in Italia  una Casa di formazione e incaricare un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>a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o due suore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di fare 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   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>p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astorale giovanile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Pr="00EF76CF" w:rsidRDefault="00B00DB9" w:rsidP="00EF76CF">
      <w:pPr>
        <w:pStyle w:val="PargrafodaLista"/>
        <w:tabs>
          <w:tab w:val="left" w:pos="-851"/>
          <w:tab w:val="left" w:pos="4395"/>
        </w:tabs>
        <w:spacing w:after="0"/>
        <w:ind w:left="0" w:right="-285" w:hanging="567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12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Incrementare lo   studio della Parola di Dio  e dare più importanza alla 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>“lectio divina”nelle nostre C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omunità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B00DB9" w:rsidP="00E770DD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13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Trovare l’occasio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ne di impegnarci nell’aiuto ai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nuovi poveri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Pr="00EF76CF" w:rsidRDefault="00B00DB9" w:rsidP="00EF76CF">
      <w:pPr>
        <w:pStyle w:val="PargrafodaLista"/>
        <w:tabs>
          <w:tab w:val="left" w:pos="-993"/>
          <w:tab w:val="left" w:pos="4395"/>
        </w:tabs>
        <w:spacing w:after="0"/>
        <w:ind w:left="0" w:right="-285" w:hanging="567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14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Nell’anno della Misericordia incrementare gesti penitenziali ( </w:t>
      </w:r>
      <w:r w:rsidR="00E770DD" w:rsidRPr="00EF76CF">
        <w:rPr>
          <w:rFonts w:ascii="Times New Roman" w:hAnsi="Times New Roman"/>
          <w:color w:val="auto"/>
          <w:sz w:val="24"/>
          <w:szCs w:val="24"/>
          <w:lang w:val="it-IT"/>
        </w:rPr>
        <w:t xml:space="preserve">più silenzio, </w:t>
      </w:r>
      <w:r w:rsidRPr="00EF76CF">
        <w:rPr>
          <w:rFonts w:ascii="Times New Roman" w:hAnsi="Times New Roman"/>
          <w:color w:val="auto"/>
          <w:sz w:val="24"/>
          <w:szCs w:val="24"/>
          <w:lang w:val="it-IT"/>
        </w:rPr>
        <w:t xml:space="preserve"> preghiera valorizzazione </w:t>
      </w:r>
      <w:r w:rsidR="00E770DD" w:rsidRPr="00EF76CF">
        <w:rPr>
          <w:rFonts w:ascii="Times New Roman" w:hAnsi="Times New Roman"/>
          <w:color w:val="auto"/>
          <w:sz w:val="24"/>
          <w:szCs w:val="24"/>
          <w:lang w:val="it-IT"/>
        </w:rPr>
        <w:t xml:space="preserve"> il Sacramento della Penitenza</w:t>
      </w:r>
      <w:r w:rsidRPr="00EF76CF">
        <w:rPr>
          <w:rFonts w:ascii="Times New Roman" w:hAnsi="Times New Roman"/>
          <w:color w:val="auto"/>
          <w:sz w:val="24"/>
          <w:szCs w:val="24"/>
          <w:lang w:val="it-IT"/>
        </w:rPr>
        <w:t xml:space="preserve"> </w:t>
      </w:r>
      <w:r w:rsidR="00E770DD" w:rsidRPr="00EF76CF">
        <w:rPr>
          <w:rFonts w:ascii="Times New Roman" w:hAnsi="Times New Roman"/>
          <w:color w:val="auto"/>
          <w:sz w:val="24"/>
          <w:szCs w:val="24"/>
          <w:lang w:val="it-IT"/>
        </w:rPr>
        <w:t>…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)</w:t>
      </w:r>
    </w:p>
    <w:p w:rsidR="00E770DD" w:rsidRDefault="00B00DB9" w:rsidP="00E770DD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15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Stabilire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un giorno per ripristinare la “festa dell’Istituto”.</w:t>
      </w:r>
    </w:p>
    <w:p w:rsidR="00E770DD" w:rsidRDefault="00B00DB9" w:rsidP="00E770DD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16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O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r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ganizzare ogni tanto degli esercizi spirituali a livello di circoscrizione</w:t>
      </w:r>
    </w:p>
    <w:p w:rsidR="00E770DD" w:rsidRDefault="00B00DB9" w:rsidP="00E770DD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17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Nell’Istituto ci sia una casa per l’adorazione permanente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B00DB9" w:rsidP="00E770DD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18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I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n Italia 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sarebbe utile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una casa al mare per chi ne ha bisogno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Pr="00EF76CF" w:rsidRDefault="00B00DB9" w:rsidP="00EF76CF">
      <w:pPr>
        <w:pStyle w:val="PargrafodaLista"/>
        <w:tabs>
          <w:tab w:val="left" w:pos="-851"/>
          <w:tab w:val="left" w:pos="4395"/>
        </w:tabs>
        <w:spacing w:after="0"/>
        <w:ind w:left="0" w:right="-285" w:hanging="567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19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E’ importante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,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per l’unità dell’Istituto</w:t>
      </w:r>
      <w:r>
        <w:rPr>
          <w:rFonts w:ascii="Times New Roman" w:hAnsi="Times New Roman"/>
          <w:color w:val="auto"/>
          <w:sz w:val="28"/>
          <w:szCs w:val="28"/>
          <w:lang w:val="it-IT"/>
        </w:rPr>
        <w:t>,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che le suore in ogni circoscrizione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 w:rsidRPr="00EF76CF">
        <w:rPr>
          <w:rFonts w:ascii="Times New Roman" w:hAnsi="Times New Roman"/>
          <w:color w:val="auto"/>
          <w:sz w:val="28"/>
          <w:szCs w:val="28"/>
          <w:lang w:val="it-IT"/>
        </w:rPr>
        <w:t>abbiano la possibilità di imparare la lingua italiana</w:t>
      </w:r>
      <w:r w:rsidR="00EF76CF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p w:rsidR="00E770DD" w:rsidRDefault="00B00DB9" w:rsidP="00EF76CF">
      <w:pPr>
        <w:pStyle w:val="PargrafodaLista"/>
        <w:tabs>
          <w:tab w:val="left" w:pos="-993"/>
          <w:tab w:val="left" w:pos="4395"/>
        </w:tabs>
        <w:spacing w:after="0"/>
        <w:ind w:left="0" w:right="-285" w:hanging="567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20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>.</w:t>
      </w: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E770DD">
        <w:rPr>
          <w:rFonts w:ascii="Times New Roman" w:hAnsi="Times New Roman"/>
          <w:color w:val="auto"/>
          <w:sz w:val="28"/>
          <w:szCs w:val="28"/>
          <w:lang w:val="it-IT"/>
        </w:rPr>
        <w:t xml:space="preserve"> Si chiede maggiore sobrietà nei festeggiamenti e nell’ospitalità di parenti, </w:t>
      </w:r>
      <w:r w:rsidR="00E770DD" w:rsidRPr="00B00DB9">
        <w:rPr>
          <w:rFonts w:ascii="Times New Roman" w:hAnsi="Times New Roman"/>
          <w:color w:val="auto"/>
          <w:sz w:val="28"/>
          <w:szCs w:val="28"/>
          <w:lang w:val="it-IT"/>
        </w:rPr>
        <w:t>sacerdoti e conoscenti.</w:t>
      </w:r>
    </w:p>
    <w:p w:rsidR="00EF76CF" w:rsidRPr="00EF76CF" w:rsidRDefault="00EF76CF" w:rsidP="00EF76CF">
      <w:pPr>
        <w:pStyle w:val="PargrafodaLista"/>
        <w:tabs>
          <w:tab w:val="left" w:pos="-567"/>
          <w:tab w:val="left" w:pos="4395"/>
        </w:tabs>
        <w:spacing w:after="0"/>
        <w:ind w:left="-567" w:right="-285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 xml:space="preserve">21.  Chi desidera donare gli organi lo può fare, lasciando le sue volontà per </w:t>
      </w:r>
      <w:r w:rsidRPr="00EF76CF">
        <w:rPr>
          <w:rFonts w:ascii="Times New Roman" w:hAnsi="Times New Roman"/>
          <w:color w:val="auto"/>
          <w:sz w:val="28"/>
          <w:szCs w:val="28"/>
          <w:lang w:val="it-IT"/>
        </w:rPr>
        <w:t xml:space="preserve"> scritto.</w:t>
      </w:r>
    </w:p>
    <w:p w:rsidR="00EF76CF" w:rsidRDefault="00CC6D24" w:rsidP="00CC6D24">
      <w:pPr>
        <w:pStyle w:val="PargrafodaLista"/>
        <w:tabs>
          <w:tab w:val="left" w:pos="-993"/>
          <w:tab w:val="left" w:pos="4395"/>
        </w:tabs>
        <w:spacing w:after="0"/>
        <w:ind w:left="0" w:right="-285" w:hanging="567"/>
        <w:jc w:val="center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color w:val="auto"/>
          <w:sz w:val="28"/>
          <w:szCs w:val="28"/>
          <w:lang w:val="it-IT"/>
        </w:rPr>
        <w:t>°°°°°°°°°°°°°°°°°°°°°°°°°°°°°°°°°°°°°°°</w:t>
      </w:r>
    </w:p>
    <w:sectPr w:rsidR="00EF76CF" w:rsidSect="00EF76C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134"/>
    <w:multiLevelType w:val="hybridMultilevel"/>
    <w:tmpl w:val="C444FFD6"/>
    <w:lvl w:ilvl="0" w:tplc="E6EC7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E87D57"/>
    <w:multiLevelType w:val="hybridMultilevel"/>
    <w:tmpl w:val="F4E20476"/>
    <w:lvl w:ilvl="0" w:tplc="BDECA2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BA5D77"/>
    <w:multiLevelType w:val="hybridMultilevel"/>
    <w:tmpl w:val="735E3CF6"/>
    <w:lvl w:ilvl="0" w:tplc="052A7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70DD"/>
    <w:rsid w:val="00020A36"/>
    <w:rsid w:val="00051E4E"/>
    <w:rsid w:val="001747FA"/>
    <w:rsid w:val="001D0346"/>
    <w:rsid w:val="00204387"/>
    <w:rsid w:val="002323B2"/>
    <w:rsid w:val="00275401"/>
    <w:rsid w:val="0031289F"/>
    <w:rsid w:val="00345786"/>
    <w:rsid w:val="00350F51"/>
    <w:rsid w:val="00382596"/>
    <w:rsid w:val="00385DE9"/>
    <w:rsid w:val="004F7DF9"/>
    <w:rsid w:val="00530471"/>
    <w:rsid w:val="005F5CB3"/>
    <w:rsid w:val="007E47E4"/>
    <w:rsid w:val="00836EED"/>
    <w:rsid w:val="0087442E"/>
    <w:rsid w:val="00902178"/>
    <w:rsid w:val="009E41BF"/>
    <w:rsid w:val="009E41C3"/>
    <w:rsid w:val="009F04AF"/>
    <w:rsid w:val="00B00DB9"/>
    <w:rsid w:val="00B50E9F"/>
    <w:rsid w:val="00BB3C32"/>
    <w:rsid w:val="00BF6DA0"/>
    <w:rsid w:val="00C33F14"/>
    <w:rsid w:val="00CC6D24"/>
    <w:rsid w:val="00DA094C"/>
    <w:rsid w:val="00E770DD"/>
    <w:rsid w:val="00EA2A3B"/>
    <w:rsid w:val="00EF76CF"/>
    <w:rsid w:val="00F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DD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5A"/>
    <w:rPr>
      <w:rFonts w:ascii="Tahoma" w:eastAsia="Calibri" w:hAnsi="Tahoma" w:cs="Tahoma"/>
      <w:color w:val="5A5A5A"/>
      <w:sz w:val="16"/>
      <w:szCs w:val="16"/>
      <w:lang w:val="en-US" w:bidi="en-US"/>
    </w:rPr>
  </w:style>
  <w:style w:type="character" w:styleId="Hyperlink">
    <w:name w:val="Hyperlink"/>
    <w:basedOn w:val="Fontepargpadro"/>
    <w:uiPriority w:val="99"/>
    <w:unhideWhenUsed/>
    <w:rsid w:val="00F13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retrziarie@tin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Mariangela</dc:creator>
  <cp:keywords/>
  <dc:description/>
  <cp:lastModifiedBy>caba</cp:lastModifiedBy>
  <cp:revision>2</cp:revision>
  <dcterms:created xsi:type="dcterms:W3CDTF">2015-10-01T08:38:00Z</dcterms:created>
  <dcterms:modified xsi:type="dcterms:W3CDTF">2015-10-01T08:38:00Z</dcterms:modified>
</cp:coreProperties>
</file>